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hAnsi="宋体"/>
          <w:b/>
          <w:bCs/>
          <w:sz w:val="32"/>
          <w:szCs w:val="32"/>
        </w:rPr>
      </w:pPr>
      <w:r>
        <w:rPr>
          <w:rFonts w:hint="eastAsia" w:hAnsi="宋体"/>
          <w:b/>
          <w:bCs/>
          <w:sz w:val="32"/>
          <w:szCs w:val="32"/>
        </w:rPr>
        <w:t>《用水产品水效标识计量专项监督检查工作规范：淋浴器》</w:t>
      </w:r>
    </w:p>
    <w:p>
      <w:pPr>
        <w:spacing w:line="480" w:lineRule="auto"/>
        <w:ind w:firstLine="643" w:firstLineChars="200"/>
        <w:jc w:val="center"/>
        <w:rPr>
          <w:b/>
          <w:bCs/>
          <w:sz w:val="32"/>
          <w:szCs w:val="32"/>
        </w:rPr>
      </w:pPr>
      <w:r>
        <w:rPr>
          <w:b/>
          <w:bCs/>
          <w:sz w:val="32"/>
          <w:szCs w:val="32"/>
        </w:rPr>
        <w:t>编</w:t>
      </w:r>
      <w:r>
        <w:rPr>
          <w:rFonts w:hint="eastAsia"/>
          <w:b/>
          <w:bCs/>
          <w:sz w:val="32"/>
          <w:szCs w:val="32"/>
        </w:rPr>
        <w:t>制</w:t>
      </w:r>
      <w:r>
        <w:rPr>
          <w:b/>
          <w:bCs/>
          <w:sz w:val="32"/>
          <w:szCs w:val="32"/>
        </w:rPr>
        <w:t>说明</w:t>
      </w:r>
    </w:p>
    <w:p>
      <w:pPr>
        <w:spacing w:beforeLines="50" w:line="360" w:lineRule="auto"/>
        <w:ind w:firstLine="482" w:firstLineChars="200"/>
        <w:rPr>
          <w:b/>
          <w:sz w:val="24"/>
        </w:rPr>
      </w:pPr>
      <w:r>
        <w:rPr>
          <w:rFonts w:hint="eastAsia"/>
          <w:b/>
          <w:sz w:val="24"/>
        </w:rPr>
        <w:t>一、 任务来源</w:t>
      </w:r>
    </w:p>
    <w:p>
      <w:pPr>
        <w:spacing w:line="360" w:lineRule="auto"/>
        <w:ind w:firstLine="480" w:firstLineChars="200"/>
        <w:rPr>
          <w:sz w:val="24"/>
        </w:rPr>
      </w:pPr>
      <w:r>
        <w:rPr>
          <w:rFonts w:hint="eastAsia"/>
          <w:sz w:val="24"/>
        </w:rPr>
        <w:t>本规范依据“市场监管总局办公厅关于印发2022年国家计量技术规范项目制定、修订及宣贯计划的通知”（市监计量发[2022]70号）文件，全国能源资源计量技术委员会 水效标识计量分技术委员会秘书处要求编制，根据任务书，计划于202</w:t>
      </w:r>
      <w:r>
        <w:rPr>
          <w:rFonts w:hint="eastAsia"/>
          <w:sz w:val="24"/>
          <w:lang w:val="en-US" w:eastAsia="zh-CN"/>
        </w:rPr>
        <w:t>4</w:t>
      </w:r>
      <w:r>
        <w:rPr>
          <w:rFonts w:hint="eastAsia"/>
          <w:sz w:val="24"/>
        </w:rPr>
        <w:t>年完成。</w:t>
      </w:r>
    </w:p>
    <w:p>
      <w:pPr>
        <w:spacing w:line="360" w:lineRule="auto"/>
        <w:ind w:firstLine="480" w:firstLineChars="200"/>
        <w:rPr>
          <w:sz w:val="24"/>
        </w:rPr>
      </w:pPr>
      <w:r>
        <w:rPr>
          <w:rFonts w:hint="eastAsia"/>
          <w:sz w:val="24"/>
        </w:rPr>
        <w:t>本规范</w:t>
      </w:r>
      <w:r>
        <w:rPr>
          <w:rFonts w:hint="eastAsia"/>
          <w:sz w:val="24"/>
          <w:lang w:val="en-US" w:eastAsia="zh-CN"/>
        </w:rPr>
        <w:t>主要起草单位为：</w:t>
      </w:r>
      <w:r>
        <w:rPr>
          <w:rFonts w:hint="eastAsia"/>
          <w:sz w:val="24"/>
        </w:rPr>
        <w:t>河南省计量科学研究院、</w:t>
      </w:r>
      <w:r>
        <w:rPr>
          <w:rFonts w:hint="eastAsia" w:hAnsi="宋体"/>
          <w:sz w:val="24"/>
        </w:rPr>
        <w:t>浙江省计量科学研究院、丹东市检验检测认证中心</w:t>
      </w:r>
      <w:r>
        <w:rPr>
          <w:rFonts w:hint="eastAsia" w:hAnsi="宋体"/>
          <w:sz w:val="24"/>
          <w:lang w:eastAsia="zh-CN"/>
        </w:rPr>
        <w:t>。</w:t>
      </w:r>
      <w:r>
        <w:rPr>
          <w:rFonts w:hint="eastAsia" w:hAnsi="宋体"/>
          <w:sz w:val="24"/>
          <w:lang w:val="en-US" w:eastAsia="zh-CN"/>
        </w:rPr>
        <w:t>参加起草单位为：</w:t>
      </w:r>
      <w:r>
        <w:rPr>
          <w:rFonts w:hint="eastAsia" w:hAnsi="宋体"/>
          <w:sz w:val="24"/>
        </w:rPr>
        <w:t>河南省产品质量监督检验院和慈溪市质量技术监督检验检测服务中心</w:t>
      </w:r>
      <w:r>
        <w:rPr>
          <w:rFonts w:hint="eastAsia"/>
          <w:sz w:val="24"/>
        </w:rPr>
        <w:t>。</w:t>
      </w:r>
    </w:p>
    <w:p>
      <w:pPr>
        <w:spacing w:beforeLines="50" w:line="360" w:lineRule="auto"/>
        <w:ind w:firstLine="482" w:firstLineChars="200"/>
        <w:rPr>
          <w:b/>
          <w:sz w:val="24"/>
        </w:rPr>
      </w:pPr>
      <w:r>
        <w:rPr>
          <w:rFonts w:hint="eastAsia"/>
          <w:b/>
          <w:sz w:val="24"/>
        </w:rPr>
        <w:t>二、背景和意义</w:t>
      </w:r>
    </w:p>
    <w:p>
      <w:pPr>
        <w:spacing w:line="360" w:lineRule="auto"/>
        <w:ind w:firstLine="600" w:firstLineChars="250"/>
        <w:rPr>
          <w:sz w:val="24"/>
        </w:rPr>
      </w:pPr>
      <w:r>
        <w:rPr>
          <w:rFonts w:hint="eastAsia"/>
          <w:sz w:val="24"/>
        </w:rPr>
        <w:t>我国人多水少，水资源供需矛盾突出，全国正常年份缺水量达500亿立方米，水安全已全面亮起红灯。全社会节水意识不强、用水粗放、浪费严重，水资源利用效率与国际先进水平存在较大差距。淋浴器是每个家庭必不可少的生活用品，而淋浴器的水效等级对于水资源的利用有着非常大的直接关系，不同厂家生产的淋浴器质量千差万别，水效等级有高有低，有的甚至不满足淋浴器水效限定值及水效等级国家强制性标准中的水效限定值，造成了水资源的浪费。因此，制定用水产品水效标识计量专项监督检查工作规范：淋浴器，开展淋浴器水效等级检查，是当前迫切需要进行的一项工作。通过制定工作规范，规范了淋浴器水效标识专项监督检查工作的抽样、检验、判定要求，统一了工作程序和具体要求，对于加强水效标识管理，强化市场监督管理，逐步淘汰水效等级较低产品，引导用户增强节水意识，形成全社会节水的良好风尚，以水资源的可持续利用支撑经济社会持续健康发展有着重要的意义。</w:t>
      </w:r>
    </w:p>
    <w:p>
      <w:pPr>
        <w:spacing w:line="360" w:lineRule="auto"/>
        <w:ind w:firstLine="600" w:firstLineChars="250"/>
        <w:rPr>
          <w:sz w:val="24"/>
        </w:rPr>
      </w:pPr>
      <w:r>
        <w:rPr>
          <w:rFonts w:hint="eastAsia"/>
          <w:sz w:val="24"/>
        </w:rPr>
        <w:t>目前国内涉及淋浴器节水相关规范有GB 28378-2019《淋浴器水效限定值及水效等级》、CWL01-2021《淋浴器水效标识实施规则》、CSC/T36.1-2006《淋浴器节水产品认证技术要求第1部分:机械式淋浴器》、CSC/T36.2-2006《淋浴器节水产品认证技术要求第2部分:非接触式淋浴器》等。国外相关规范有BS EN 14527-2016+A1-2018 《家用淋浴器》。无论国内还是国外，随着人们节水意识的提高以及生产工艺的改进，从标准规范修订的过程来说，水效的指标都在逐渐提高。2019年，国家市场监督管理总局、国家标准化管理委员会发布《淋浴器水效限定值及水效等级》（GB 28378-2019），强制性国家标准进一步修改了淋浴器水效等级指标，1级最大流量由原来的4.8（升/分）（0.08L/s）降低到4.5（升/分）</w:t>
      </w:r>
      <w:r>
        <w:rPr>
          <w:rFonts w:hint="eastAsia"/>
          <w:sz w:val="24"/>
          <w:lang w:eastAsia="zh-CN"/>
        </w:rPr>
        <w:t>，</w:t>
      </w:r>
      <w:r>
        <w:rPr>
          <w:rFonts w:hint="eastAsia"/>
          <w:sz w:val="24"/>
        </w:rPr>
        <w:t>2级最大流量由原来的7.2（升/分）（0.12L/s）降低到6.0（升/分），增加了喷射力要求，修改了流量均匀性指标，对提高淋浴器水效、引导企业节能节水技术进步、提高公众节能节水的环保意识、促进淋浴器产业健康发展、增强淋浴器产品的市场竞争力具有重要意义，进一步推动国家的绿色发展和生态文明建设，为中国能效水效标识制度实施提供支撑和依据。拟制定本规范，旨为进一步加强淋浴器用水产品水效标识监督管理，推进淋浴器水效标识制度有效实施，促进用水器具产业高质量发展。综上，制定淋浴器用水产品水效标识计量专项检查工作规范是十分必要的。</w:t>
      </w:r>
    </w:p>
    <w:p>
      <w:pPr>
        <w:spacing w:beforeLines="50" w:line="360" w:lineRule="auto"/>
        <w:ind w:firstLine="482" w:firstLineChars="200"/>
        <w:rPr>
          <w:b/>
          <w:sz w:val="24"/>
        </w:rPr>
      </w:pPr>
      <w:r>
        <w:rPr>
          <w:rFonts w:hint="eastAsia"/>
          <w:b/>
          <w:sz w:val="24"/>
        </w:rPr>
        <w:t>三、 编制原则</w:t>
      </w:r>
    </w:p>
    <w:p>
      <w:pPr>
        <w:spacing w:line="360" w:lineRule="auto"/>
        <w:ind w:firstLine="480" w:firstLineChars="200"/>
        <w:rPr>
          <w:rFonts w:hAnsi="宋体"/>
          <w:color w:val="000000"/>
          <w:kern w:val="0"/>
          <w:sz w:val="24"/>
          <w:lang w:val="zh-CN"/>
        </w:rPr>
      </w:pPr>
      <w:r>
        <w:rPr>
          <w:rFonts w:hint="eastAsia"/>
          <w:sz w:val="24"/>
        </w:rPr>
        <w:t>依据《中华人民共和国节约能源法》、《中华人民共和国水法》、《中华人民共和国产品质量法》、《中华人民共和国计量法》和《水效标识管理办法》</w:t>
      </w:r>
      <w:r>
        <w:rPr>
          <w:rFonts w:hint="eastAsia" w:ascii="宋体" w:hAnsi="宋体" w:cs="宋体"/>
          <w:color w:val="000000"/>
          <w:kern w:val="0"/>
          <w:sz w:val="24"/>
        </w:rPr>
        <w:t>等法律法规、规章制度、淋浴器水效国家强制性标准和淋浴器水效标识实施规则要求，</w:t>
      </w:r>
      <w:r>
        <w:rPr>
          <w:rFonts w:hint="eastAsia" w:hAnsi="宋体"/>
          <w:color w:val="000000"/>
          <w:kern w:val="0"/>
          <w:sz w:val="24"/>
          <w:lang w:val="zh-CN"/>
        </w:rPr>
        <w:t>参照《用水产品水效标识计量专项监督检查工作规范</w:t>
      </w:r>
      <w:r>
        <w:rPr>
          <w:rFonts w:hint="eastAsia" w:hAnsi="宋体"/>
          <w:color w:val="000000"/>
          <w:kern w:val="0"/>
          <w:sz w:val="24"/>
          <w:lang w:val="en-US" w:eastAsia="zh-CN"/>
        </w:rPr>
        <w:t xml:space="preserve"> </w:t>
      </w:r>
      <w:r>
        <w:rPr>
          <w:rFonts w:hint="eastAsia" w:hAnsi="宋体"/>
          <w:color w:val="000000"/>
          <w:kern w:val="0"/>
          <w:sz w:val="24"/>
          <w:lang w:val="zh-CN"/>
        </w:rPr>
        <w:t>总则》相关内容，结合淋浴器行业的现状，将计量的精确技术手段应用到了对淋浴器水效的测量工作中，将测量结果不确定度的影响加入到对结果的判定之中，并对测量仪器从计量角度更精准的提出了要求，使得检验结果更准确，不仅为生产企业实施淋浴器水效标识提供准确可靠的技术支撑，保障消费者合法权益，同时为第三方权威检验机构提供准确可靠的测量数据，促进行业转型和高质量发展的同时实现节水节能。《用水产品水效标识计量专项监督检查工作规范：淋浴器》</w:t>
      </w:r>
      <w:r>
        <w:rPr>
          <w:rFonts w:hint="eastAsia"/>
          <w:sz w:val="24"/>
        </w:rPr>
        <w:t>制定实施后，将作为淋浴器产品水效标识专项检查的规范文件，统一要求专项检查中抽查方式、技术指标、判定原则等环节，实现全国专项抽查检查结果的一致性，提高检查质量，保证政府的公信力。</w:t>
      </w:r>
    </w:p>
    <w:p>
      <w:pPr>
        <w:spacing w:line="360" w:lineRule="auto"/>
        <w:ind w:firstLine="480" w:firstLineChars="200"/>
        <w:rPr>
          <w:b/>
          <w:sz w:val="24"/>
        </w:rPr>
      </w:pPr>
      <w:r>
        <w:rPr>
          <w:rFonts w:hAnsi="宋体"/>
          <w:color w:val="000000"/>
          <w:kern w:val="0"/>
          <w:sz w:val="24"/>
          <w:lang w:val="zh-CN"/>
        </w:rPr>
        <w:t xml:space="preserve"> </w:t>
      </w:r>
      <w:r>
        <w:rPr>
          <w:rFonts w:hint="eastAsia"/>
          <w:b/>
          <w:sz w:val="24"/>
        </w:rPr>
        <w:t>四、编制过程</w:t>
      </w:r>
    </w:p>
    <w:p>
      <w:pPr>
        <w:spacing w:line="360" w:lineRule="auto"/>
        <w:ind w:firstLine="480" w:firstLineChars="200"/>
        <w:rPr>
          <w:sz w:val="24"/>
        </w:rPr>
      </w:pPr>
      <w:r>
        <w:rPr>
          <w:rFonts w:hint="eastAsia"/>
          <w:sz w:val="24"/>
        </w:rPr>
        <w:t>2022年7月，河南省计量科学研究院接到起草任务后，对相关国家标准、检测规范、校准规范和国内外文献内容进行了详细梳理，撰写了规范制定的原则、总体路线、依据内容和注意事项等，征求相关单位和企业的初步意见和意向，并根据汇总结果形成了初步编制方案和起草组人员构成，</w:t>
      </w:r>
      <w:r>
        <w:rPr>
          <w:rFonts w:hint="eastAsia"/>
          <w:sz w:val="24"/>
          <w:lang w:val="en-US" w:eastAsia="zh-CN"/>
        </w:rPr>
        <w:t>起草单位由5家单位组成，起草小组人员初定丁力、王文林、宋光远、邱跃龙等6人。</w:t>
      </w:r>
      <w:r>
        <w:rPr>
          <w:rFonts w:hint="eastAsia"/>
          <w:sz w:val="24"/>
        </w:rPr>
        <w:t>编写工作过程如下：</w:t>
      </w:r>
    </w:p>
    <w:p>
      <w:pPr>
        <w:spacing w:line="360" w:lineRule="auto"/>
        <w:ind w:firstLine="480" w:firstLineChars="200"/>
        <w:rPr>
          <w:sz w:val="24"/>
        </w:rPr>
      </w:pPr>
      <w:r>
        <w:rPr>
          <w:rFonts w:hint="eastAsia"/>
          <w:sz w:val="24"/>
        </w:rPr>
        <w:t>2022 年7月～2022年9月，针对前期搜集资料情况，起草小组召开规范内部交流会，根据任务书进行讨论，提出制定意见，本规范的适用范围及注意事项，明确与现行国家标准、规范保持一致性的编写要求。</w:t>
      </w:r>
    </w:p>
    <w:p>
      <w:pPr>
        <w:spacing w:line="360" w:lineRule="auto"/>
        <w:ind w:firstLine="480" w:firstLineChars="200"/>
        <w:rPr>
          <w:rFonts w:hint="eastAsia"/>
          <w:b/>
          <w:sz w:val="24"/>
        </w:rPr>
      </w:pPr>
      <w:r>
        <w:rPr>
          <w:rFonts w:hint="eastAsia"/>
          <w:sz w:val="24"/>
        </w:rPr>
        <w:t>2022 年9月～2022年12月，规范起草小组召开内部交流会，形成初稿，并进行修改，将修改稿在编制组内，进行小范围征求意见，并进行工作安排。</w:t>
      </w:r>
    </w:p>
    <w:p>
      <w:pPr>
        <w:spacing w:line="360" w:lineRule="auto"/>
        <w:ind w:firstLine="480" w:firstLineChars="200"/>
        <w:rPr>
          <w:rFonts w:hint="eastAsia"/>
          <w:sz w:val="24"/>
        </w:rPr>
      </w:pPr>
      <w:r>
        <w:rPr>
          <w:rFonts w:hint="eastAsia"/>
          <w:sz w:val="24"/>
        </w:rPr>
        <w:t>2023 年1月～2023年3月起草小组根据规范内容制定技术方案，根据淋浴器水效标识产品监督管理要求，为规范起草内容提供技术政策支撑。进一步完善规范初稿内容。</w:t>
      </w:r>
    </w:p>
    <w:p>
      <w:pPr>
        <w:spacing w:line="360" w:lineRule="auto"/>
        <w:ind w:firstLine="480" w:firstLineChars="200"/>
        <w:rPr>
          <w:rFonts w:hint="eastAsia"/>
          <w:sz w:val="24"/>
        </w:rPr>
      </w:pPr>
      <w:r>
        <w:rPr>
          <w:rFonts w:hint="eastAsia"/>
          <w:sz w:val="24"/>
        </w:rPr>
        <w:t>2023 年3月～2023年6月 起草小组通过意见反馈进行深入讨论，根据讨论意见进行修改并完善，完成征求意见稿。</w:t>
      </w:r>
    </w:p>
    <w:p>
      <w:pPr>
        <w:spacing w:line="360" w:lineRule="auto"/>
        <w:ind w:firstLine="480" w:firstLineChars="200"/>
        <w:rPr>
          <w:rFonts w:hint="eastAsia"/>
          <w:sz w:val="24"/>
        </w:rPr>
      </w:pPr>
      <w:r>
        <w:rPr>
          <w:rFonts w:hint="eastAsia"/>
          <w:sz w:val="24"/>
        </w:rPr>
        <w:t>2023 年6月～2023年</w:t>
      </w:r>
      <w:r>
        <w:rPr>
          <w:rFonts w:hint="eastAsia"/>
          <w:sz w:val="24"/>
          <w:lang w:val="en-US" w:eastAsia="zh-CN"/>
        </w:rPr>
        <w:t>12</w:t>
      </w:r>
      <w:r>
        <w:rPr>
          <w:rFonts w:hint="eastAsia"/>
          <w:sz w:val="24"/>
        </w:rPr>
        <w:t>月 根据征求意见</w:t>
      </w:r>
      <w:r>
        <w:rPr>
          <w:rFonts w:hint="eastAsia"/>
          <w:sz w:val="24"/>
          <w:lang w:val="en-US" w:eastAsia="zh-CN"/>
        </w:rPr>
        <w:t>稿，开展检测试验验证，并对征求意见稿</w:t>
      </w:r>
      <w:r>
        <w:rPr>
          <w:rFonts w:hint="eastAsia"/>
          <w:sz w:val="24"/>
        </w:rPr>
        <w:t>进行修改，</w:t>
      </w:r>
      <w:r>
        <w:rPr>
          <w:rFonts w:hint="eastAsia"/>
          <w:sz w:val="24"/>
          <w:lang w:val="en-US" w:eastAsia="zh-CN"/>
        </w:rPr>
        <w:t>形成最终征求意见稿</w:t>
      </w:r>
      <w:r>
        <w:rPr>
          <w:rFonts w:hint="eastAsia"/>
          <w:sz w:val="24"/>
        </w:rPr>
        <w:t>。</w:t>
      </w:r>
    </w:p>
    <w:p>
      <w:pPr>
        <w:spacing w:beforeLines="50" w:line="360" w:lineRule="auto"/>
        <w:ind w:firstLine="482" w:firstLineChars="200"/>
        <w:rPr>
          <w:b/>
          <w:sz w:val="24"/>
        </w:rPr>
      </w:pPr>
      <w:r>
        <w:rPr>
          <w:rFonts w:hint="eastAsia"/>
          <w:b/>
          <w:sz w:val="24"/>
        </w:rPr>
        <w:t>五、 规范主要制定内容</w:t>
      </w:r>
    </w:p>
    <w:p>
      <w:pPr>
        <w:spacing w:line="360" w:lineRule="auto"/>
        <w:ind w:firstLine="480" w:firstLineChars="200"/>
        <w:rPr>
          <w:rFonts w:hint="eastAsia"/>
          <w:sz w:val="24"/>
        </w:rPr>
      </w:pPr>
      <w:r>
        <w:rPr>
          <w:rFonts w:hint="eastAsia"/>
          <w:sz w:val="24"/>
          <w:lang w:val="en-US" w:eastAsia="zh-CN"/>
        </w:rPr>
        <w:t>本规范为首次制定，</w:t>
      </w:r>
      <w:r>
        <w:rPr>
          <w:rFonts w:hint="eastAsia"/>
          <w:sz w:val="24"/>
        </w:rPr>
        <w:t>本次起草的《</w:t>
      </w:r>
      <w:r>
        <w:rPr>
          <w:rFonts w:hint="eastAsia" w:hAnsi="宋体"/>
          <w:color w:val="000000"/>
          <w:kern w:val="0"/>
          <w:sz w:val="24"/>
          <w:lang w:val="zh-CN"/>
        </w:rPr>
        <w:t>用水产品水效标识计量专项监督检查工作规范：淋浴器</w:t>
      </w:r>
      <w:r>
        <w:rPr>
          <w:rFonts w:hint="eastAsia"/>
          <w:sz w:val="24"/>
        </w:rPr>
        <w:t>》结合国内外标准中的技术要求，规范了淋浴器</w:t>
      </w:r>
      <w:r>
        <w:rPr>
          <w:rFonts w:hint="eastAsia" w:hAnsi="宋体"/>
          <w:color w:val="000000"/>
          <w:kern w:val="0"/>
          <w:sz w:val="24"/>
          <w:lang w:val="zh-CN"/>
        </w:rPr>
        <w:t>产品水效标识计量专项监督检查工作流程</w:t>
      </w:r>
      <w:r>
        <w:rPr>
          <w:rFonts w:hint="eastAsia"/>
          <w:sz w:val="24"/>
        </w:rPr>
        <w:t>，较为合理地满足了淋浴器产品水效标识计量专项监督检查的实际需求。主要制定内容如下：</w:t>
      </w:r>
    </w:p>
    <w:p>
      <w:pPr>
        <w:spacing w:line="360" w:lineRule="auto"/>
        <w:ind w:firstLine="480" w:firstLineChars="200"/>
        <w:rPr>
          <w:rFonts w:hint="eastAsia"/>
          <w:sz w:val="24"/>
        </w:rPr>
      </w:pPr>
      <w:r>
        <w:rPr>
          <w:rFonts w:hint="eastAsia"/>
          <w:sz w:val="24"/>
        </w:rPr>
        <w:t>5.1引言，讲明规范的制定依据、目的等；</w:t>
      </w:r>
    </w:p>
    <w:p>
      <w:pPr>
        <w:spacing w:line="360" w:lineRule="auto"/>
        <w:ind w:firstLine="480" w:firstLineChars="200"/>
        <w:rPr>
          <w:rFonts w:hint="eastAsia"/>
          <w:sz w:val="24"/>
        </w:rPr>
      </w:pPr>
      <w:r>
        <w:rPr>
          <w:rFonts w:hint="eastAsia"/>
          <w:sz w:val="24"/>
        </w:rPr>
        <w:t>5.2范围，讲明适用的范围，主要为列入《中华人民共和国实施水效标识的产品目录》</w:t>
      </w:r>
      <w:r>
        <w:rPr>
          <w:rFonts w:hint="eastAsia" w:ascii="宋体" w:hAnsi="宋体"/>
          <w:bCs/>
          <w:sz w:val="24"/>
        </w:rPr>
        <w:t>内的淋浴器水效标识产品</w:t>
      </w:r>
      <w:r>
        <w:rPr>
          <w:rFonts w:hint="eastAsia"/>
          <w:sz w:val="24"/>
        </w:rPr>
        <w:t>；</w:t>
      </w:r>
    </w:p>
    <w:p>
      <w:pPr>
        <w:spacing w:line="360" w:lineRule="auto"/>
        <w:ind w:firstLine="480" w:firstLineChars="200"/>
        <w:rPr>
          <w:rFonts w:hint="eastAsia"/>
          <w:sz w:val="24"/>
        </w:rPr>
      </w:pPr>
      <w:r>
        <w:rPr>
          <w:rFonts w:hint="eastAsia"/>
          <w:sz w:val="24"/>
        </w:rPr>
        <w:t>5.3引用文献，引用的主要文献；</w:t>
      </w:r>
    </w:p>
    <w:p>
      <w:pPr>
        <w:spacing w:line="360" w:lineRule="auto"/>
        <w:ind w:firstLine="480" w:firstLineChars="200"/>
        <w:rPr>
          <w:rFonts w:hint="eastAsia"/>
          <w:sz w:val="24"/>
        </w:rPr>
      </w:pPr>
      <w:r>
        <w:rPr>
          <w:rFonts w:hint="eastAsia"/>
          <w:sz w:val="24"/>
        </w:rPr>
        <w:t>5.4术语和定义，解释规范中采用的特有的术语和定义；</w:t>
      </w:r>
    </w:p>
    <w:p>
      <w:pPr>
        <w:spacing w:line="360" w:lineRule="auto"/>
        <w:ind w:firstLine="480" w:firstLineChars="200"/>
        <w:rPr>
          <w:rFonts w:hint="eastAsia"/>
          <w:sz w:val="24"/>
        </w:rPr>
      </w:pPr>
      <w:r>
        <w:rPr>
          <w:rFonts w:hint="eastAsia"/>
          <w:sz w:val="24"/>
        </w:rPr>
        <w:t>5.5检查对象，阐明“双随机”抽查机制下检查对象的随机确定方法；</w:t>
      </w:r>
    </w:p>
    <w:p>
      <w:pPr>
        <w:spacing w:line="360" w:lineRule="auto"/>
        <w:ind w:firstLine="480" w:firstLineChars="200"/>
        <w:rPr>
          <w:rFonts w:hint="eastAsia"/>
          <w:sz w:val="24"/>
        </w:rPr>
      </w:pPr>
      <w:r>
        <w:rPr>
          <w:rFonts w:hint="eastAsia"/>
          <w:sz w:val="24"/>
        </w:rPr>
        <w:t>5.6抽查人员，阐明“双随机”抽查机制下的抽样人员和承检机构的确认方法；</w:t>
      </w:r>
    </w:p>
    <w:p>
      <w:pPr>
        <w:spacing w:line="360" w:lineRule="auto"/>
        <w:ind w:firstLine="480" w:firstLineChars="200"/>
        <w:rPr>
          <w:rFonts w:hint="eastAsia"/>
          <w:sz w:val="24"/>
        </w:rPr>
      </w:pPr>
      <w:r>
        <w:rPr>
          <w:rFonts w:hint="eastAsia"/>
          <w:sz w:val="24"/>
        </w:rPr>
        <w:t>5.7检验依据，阐明检验所需依据的国家标准等；</w:t>
      </w:r>
    </w:p>
    <w:p>
      <w:pPr>
        <w:spacing w:line="360" w:lineRule="auto"/>
        <w:ind w:firstLine="480" w:firstLineChars="200"/>
        <w:rPr>
          <w:rFonts w:hint="eastAsia"/>
          <w:sz w:val="24"/>
        </w:rPr>
      </w:pPr>
      <w:r>
        <w:rPr>
          <w:rFonts w:hint="eastAsia"/>
          <w:sz w:val="24"/>
        </w:rPr>
        <w:t>5.8生产领域抽样，明确生产领域抽样方法、抽样数量等环节的要求；</w:t>
      </w:r>
    </w:p>
    <w:p>
      <w:pPr>
        <w:spacing w:line="360" w:lineRule="auto"/>
        <w:ind w:firstLine="480" w:firstLineChars="200"/>
        <w:rPr>
          <w:rFonts w:hint="eastAsia"/>
          <w:sz w:val="24"/>
        </w:rPr>
      </w:pPr>
      <w:r>
        <w:rPr>
          <w:rFonts w:hint="eastAsia"/>
          <w:sz w:val="24"/>
        </w:rPr>
        <w:t>5.9流通领域买样，明确流通领域买样方法、买样数量等环节的要求；</w:t>
      </w:r>
    </w:p>
    <w:p>
      <w:pPr>
        <w:spacing w:line="360" w:lineRule="auto"/>
        <w:ind w:firstLine="480" w:firstLineChars="200"/>
        <w:rPr>
          <w:rFonts w:hint="eastAsia"/>
          <w:sz w:val="24"/>
        </w:rPr>
      </w:pPr>
      <w:r>
        <w:rPr>
          <w:rFonts w:hint="eastAsia"/>
          <w:sz w:val="24"/>
        </w:rPr>
        <w:t>5.10检验检查要求，阐明检验检查应包含的项目及其依据；</w:t>
      </w:r>
    </w:p>
    <w:p>
      <w:pPr>
        <w:spacing w:line="360" w:lineRule="auto"/>
        <w:ind w:firstLine="480" w:firstLineChars="200"/>
        <w:rPr>
          <w:rFonts w:hint="eastAsia"/>
          <w:sz w:val="24"/>
        </w:rPr>
      </w:pPr>
      <w:r>
        <w:rPr>
          <w:rFonts w:hint="eastAsia"/>
          <w:sz w:val="24"/>
        </w:rPr>
        <w:t xml:space="preserve">5.11判定原则，阐明淋浴器产品水效标识检验检查结果判定的基本原则； </w:t>
      </w:r>
    </w:p>
    <w:p>
      <w:pPr>
        <w:spacing w:line="360" w:lineRule="auto"/>
        <w:ind w:firstLine="480" w:firstLineChars="200"/>
        <w:rPr>
          <w:rFonts w:hint="eastAsia"/>
          <w:sz w:val="24"/>
        </w:rPr>
      </w:pPr>
      <w:r>
        <w:rPr>
          <w:rFonts w:hint="eastAsia"/>
          <w:sz w:val="24"/>
        </w:rPr>
        <w:t>5.12结果通知，阐明检查结果和检验报告的通知要求；</w:t>
      </w:r>
    </w:p>
    <w:p>
      <w:pPr>
        <w:spacing w:line="360" w:lineRule="auto"/>
        <w:ind w:firstLine="480" w:firstLineChars="200"/>
        <w:rPr>
          <w:rFonts w:hint="eastAsia"/>
          <w:sz w:val="24"/>
        </w:rPr>
      </w:pPr>
      <w:r>
        <w:rPr>
          <w:rFonts w:hint="eastAsia"/>
          <w:sz w:val="24"/>
        </w:rPr>
        <w:t>5.13异议处理，阐明异议处理基本程序；</w:t>
      </w:r>
    </w:p>
    <w:p>
      <w:pPr>
        <w:spacing w:line="360" w:lineRule="auto"/>
        <w:ind w:firstLine="480" w:firstLineChars="200"/>
        <w:rPr>
          <w:rFonts w:hint="eastAsia"/>
          <w:sz w:val="24"/>
        </w:rPr>
      </w:pPr>
      <w:r>
        <w:rPr>
          <w:rFonts w:hint="eastAsia"/>
          <w:sz w:val="24"/>
        </w:rPr>
        <w:t>5.14样品处置，明确样品处理的基本要求；</w:t>
      </w:r>
    </w:p>
    <w:p>
      <w:pPr>
        <w:spacing w:line="360" w:lineRule="auto"/>
        <w:ind w:firstLine="480" w:firstLineChars="200"/>
        <w:rPr>
          <w:rFonts w:hint="eastAsia"/>
          <w:sz w:val="24"/>
        </w:rPr>
      </w:pPr>
      <w:r>
        <w:rPr>
          <w:rFonts w:hint="eastAsia"/>
          <w:sz w:val="24"/>
        </w:rPr>
        <w:t>5.15保密要求，明确专项检查有关情况的保密要求；</w:t>
      </w:r>
    </w:p>
    <w:p>
      <w:pPr>
        <w:spacing w:line="360" w:lineRule="auto"/>
        <w:ind w:firstLine="480" w:firstLineChars="200"/>
        <w:rPr>
          <w:rFonts w:hint="eastAsia" w:ascii="宋体" w:hAnsi="宋体" w:cs="宋体"/>
          <w:bCs/>
          <w:kern w:val="0"/>
          <w:sz w:val="24"/>
          <w:lang w:val="zh-CN"/>
        </w:rPr>
      </w:pPr>
      <w:r>
        <w:rPr>
          <w:rFonts w:hint="eastAsia"/>
          <w:sz w:val="24"/>
        </w:rPr>
        <w:t>5.16 附则，</w:t>
      </w:r>
      <w:r>
        <w:rPr>
          <w:rFonts w:hint="eastAsia" w:ascii="宋体" w:hAnsi="宋体" w:cs="宋体"/>
          <w:bCs/>
          <w:kern w:val="0"/>
          <w:sz w:val="24"/>
          <w:lang w:val="zh-CN"/>
        </w:rPr>
        <w:t>本规范由国家市场监督管理总局计量司管理；</w:t>
      </w:r>
    </w:p>
    <w:p>
      <w:pPr>
        <w:spacing w:line="360" w:lineRule="auto"/>
        <w:ind w:firstLine="480" w:firstLineChars="200"/>
        <w:rPr>
          <w:rFonts w:hint="eastAsia" w:ascii="宋体" w:hAnsi="宋体" w:cs="宋体"/>
          <w:bCs/>
          <w:kern w:val="0"/>
          <w:sz w:val="24"/>
          <w:lang w:val="zh-CN"/>
        </w:rPr>
      </w:pPr>
      <w:r>
        <w:rPr>
          <w:rFonts w:hint="eastAsia"/>
          <w:sz w:val="24"/>
        </w:rPr>
        <w:t>5.1</w:t>
      </w:r>
      <w:r>
        <w:rPr>
          <w:rFonts w:hint="eastAsia"/>
          <w:sz w:val="24"/>
          <w:lang w:val="en-US" w:eastAsia="zh-CN"/>
        </w:rPr>
        <w:t>7</w:t>
      </w:r>
      <w:r>
        <w:rPr>
          <w:rFonts w:hint="eastAsia"/>
          <w:sz w:val="24"/>
        </w:rPr>
        <w:t xml:space="preserve"> </w:t>
      </w:r>
      <w:r>
        <w:rPr>
          <w:rFonts w:hint="eastAsia"/>
          <w:sz w:val="24"/>
          <w:lang w:val="en-US" w:eastAsia="zh-CN"/>
        </w:rPr>
        <w:t>附录A 环境条件、测量设备及测量不确定度要求</w:t>
      </w:r>
      <w:bookmarkStart w:id="0" w:name="_GoBack"/>
      <w:bookmarkEnd w:id="0"/>
      <w:r>
        <w:rPr>
          <w:rFonts w:hint="eastAsia" w:ascii="宋体" w:hAnsi="宋体" w:cs="宋体"/>
          <w:bCs/>
          <w:kern w:val="0"/>
          <w:sz w:val="24"/>
          <w:lang w:val="zh-CN"/>
        </w:rPr>
        <w:t>；</w:t>
      </w:r>
    </w:p>
    <w:p>
      <w:pPr>
        <w:spacing w:line="360" w:lineRule="auto"/>
        <w:ind w:firstLine="480" w:firstLineChars="200"/>
        <w:rPr>
          <w:rFonts w:hint="eastAsia" w:ascii="宋体" w:hAnsi="宋体" w:cs="宋体"/>
          <w:bCs/>
          <w:kern w:val="0"/>
          <w:sz w:val="24"/>
          <w:lang w:val="zh-CN"/>
        </w:rPr>
      </w:pPr>
      <w:r>
        <w:rPr>
          <w:rFonts w:hint="eastAsia"/>
          <w:sz w:val="24"/>
        </w:rPr>
        <w:t>5.1</w:t>
      </w:r>
      <w:r>
        <w:rPr>
          <w:rFonts w:hint="eastAsia"/>
          <w:sz w:val="24"/>
          <w:lang w:val="en-US" w:eastAsia="zh-CN"/>
        </w:rPr>
        <w:t>8</w:t>
      </w:r>
      <w:r>
        <w:rPr>
          <w:rFonts w:hint="eastAsia"/>
          <w:sz w:val="24"/>
        </w:rPr>
        <w:t xml:space="preserve"> 附</w:t>
      </w:r>
      <w:r>
        <w:rPr>
          <w:rFonts w:hint="eastAsia"/>
          <w:sz w:val="24"/>
          <w:lang w:val="en-US" w:eastAsia="zh-CN"/>
        </w:rPr>
        <w:t>录B 流量测量不确定度评定示例</w:t>
      </w:r>
      <w:r>
        <w:rPr>
          <w:rFonts w:hint="eastAsia" w:ascii="宋体" w:hAnsi="宋体" w:cs="宋体"/>
          <w:bCs/>
          <w:kern w:val="0"/>
          <w:sz w:val="24"/>
          <w:lang w:val="zh-CN"/>
        </w:rPr>
        <w:t>；</w:t>
      </w:r>
    </w:p>
    <w:p>
      <w:pPr>
        <w:spacing w:line="360" w:lineRule="auto"/>
        <w:ind w:firstLine="480" w:firstLineChars="200"/>
        <w:rPr>
          <w:rFonts w:hint="eastAsia" w:ascii="宋体" w:hAnsi="宋体" w:cs="宋体"/>
          <w:bCs/>
          <w:kern w:val="0"/>
          <w:sz w:val="24"/>
          <w:lang w:val="zh-CN"/>
        </w:rPr>
      </w:pPr>
      <w:r>
        <w:rPr>
          <w:rFonts w:hint="eastAsia"/>
          <w:sz w:val="24"/>
        </w:rPr>
        <w:t>5.1</w:t>
      </w:r>
      <w:r>
        <w:rPr>
          <w:rFonts w:hint="eastAsia"/>
          <w:sz w:val="24"/>
          <w:lang w:val="en-US" w:eastAsia="zh-CN"/>
        </w:rPr>
        <w:t>9</w:t>
      </w:r>
      <w:r>
        <w:rPr>
          <w:rFonts w:hint="eastAsia"/>
          <w:sz w:val="24"/>
        </w:rPr>
        <w:t xml:space="preserve"> 附</w:t>
      </w:r>
      <w:r>
        <w:rPr>
          <w:rFonts w:hint="eastAsia"/>
          <w:sz w:val="24"/>
          <w:lang w:val="en-US" w:eastAsia="zh-CN"/>
        </w:rPr>
        <w:t>录C 抽样单（生产领域）</w:t>
      </w:r>
      <w:r>
        <w:rPr>
          <w:rFonts w:hint="eastAsia" w:ascii="宋体" w:hAnsi="宋体" w:cs="宋体"/>
          <w:bCs/>
          <w:kern w:val="0"/>
          <w:sz w:val="24"/>
          <w:lang w:val="zh-CN"/>
        </w:rPr>
        <w:t>；</w:t>
      </w:r>
    </w:p>
    <w:p>
      <w:pPr>
        <w:spacing w:line="360" w:lineRule="auto"/>
        <w:ind w:firstLine="480" w:firstLineChars="200"/>
        <w:rPr>
          <w:rFonts w:hint="eastAsia" w:ascii="宋体" w:hAnsi="宋体" w:cs="宋体"/>
          <w:bCs/>
          <w:kern w:val="0"/>
          <w:sz w:val="24"/>
          <w:lang w:val="zh-CN"/>
        </w:rPr>
      </w:pPr>
      <w:r>
        <w:rPr>
          <w:rFonts w:hint="eastAsia"/>
          <w:sz w:val="24"/>
        </w:rPr>
        <w:t>5.</w:t>
      </w:r>
      <w:r>
        <w:rPr>
          <w:rFonts w:hint="eastAsia"/>
          <w:sz w:val="24"/>
          <w:lang w:val="en-US" w:eastAsia="zh-CN"/>
        </w:rPr>
        <w:t>20</w:t>
      </w:r>
      <w:r>
        <w:rPr>
          <w:rFonts w:hint="eastAsia"/>
          <w:sz w:val="24"/>
        </w:rPr>
        <w:t xml:space="preserve"> 附</w:t>
      </w:r>
      <w:r>
        <w:rPr>
          <w:rFonts w:hint="eastAsia"/>
          <w:sz w:val="24"/>
          <w:lang w:val="en-US" w:eastAsia="zh-CN"/>
        </w:rPr>
        <w:t>录D 抽样单（流通领域）</w:t>
      </w:r>
      <w:r>
        <w:rPr>
          <w:rFonts w:hint="eastAsia" w:ascii="宋体" w:hAnsi="宋体" w:cs="宋体"/>
          <w:bCs/>
          <w:kern w:val="0"/>
          <w:sz w:val="24"/>
          <w:lang w:val="zh-CN"/>
        </w:rPr>
        <w:t>；</w:t>
      </w:r>
    </w:p>
    <w:p>
      <w:pPr>
        <w:spacing w:line="360" w:lineRule="auto"/>
        <w:ind w:firstLine="480" w:firstLineChars="200"/>
        <w:rPr>
          <w:rFonts w:hint="eastAsia" w:ascii="宋体" w:hAnsi="宋体" w:cs="宋体"/>
          <w:bCs/>
          <w:kern w:val="0"/>
          <w:sz w:val="24"/>
          <w:lang w:val="zh-CN"/>
        </w:rPr>
      </w:pPr>
      <w:r>
        <w:rPr>
          <w:rFonts w:hint="eastAsia"/>
          <w:sz w:val="24"/>
        </w:rPr>
        <w:t>5.</w:t>
      </w:r>
      <w:r>
        <w:rPr>
          <w:rFonts w:hint="eastAsia"/>
          <w:sz w:val="24"/>
          <w:lang w:val="en-US" w:eastAsia="zh-CN"/>
        </w:rPr>
        <w:t>21</w:t>
      </w:r>
      <w:r>
        <w:rPr>
          <w:rFonts w:hint="eastAsia"/>
          <w:sz w:val="24"/>
        </w:rPr>
        <w:t>附</w:t>
      </w:r>
      <w:r>
        <w:rPr>
          <w:rFonts w:hint="eastAsia"/>
          <w:sz w:val="24"/>
          <w:lang w:val="en-US" w:eastAsia="zh-CN"/>
        </w:rPr>
        <w:t>录E 抽样单（网络抽样）</w:t>
      </w:r>
      <w:r>
        <w:rPr>
          <w:rFonts w:hint="eastAsia" w:ascii="宋体" w:hAnsi="宋体" w:cs="宋体"/>
          <w:bCs/>
          <w:kern w:val="0"/>
          <w:sz w:val="24"/>
          <w:lang w:val="zh-CN"/>
        </w:rPr>
        <w:t>。</w:t>
      </w:r>
    </w:p>
    <w:p>
      <w:pPr>
        <w:spacing w:beforeLines="50" w:line="360" w:lineRule="auto"/>
        <w:ind w:firstLine="482" w:firstLineChars="200"/>
        <w:rPr>
          <w:b/>
          <w:sz w:val="24"/>
        </w:rPr>
      </w:pPr>
      <w:r>
        <w:rPr>
          <w:rFonts w:hint="eastAsia"/>
          <w:b/>
          <w:sz w:val="24"/>
        </w:rPr>
        <w:t>六、 与有关的现行法律、规范和强制性国家标准的关系</w:t>
      </w:r>
    </w:p>
    <w:p>
      <w:pPr>
        <w:spacing w:line="360" w:lineRule="auto"/>
        <w:ind w:firstLine="480" w:firstLineChars="200"/>
        <w:rPr>
          <w:sz w:val="24"/>
        </w:rPr>
      </w:pPr>
      <w:r>
        <w:rPr>
          <w:rFonts w:hint="eastAsia"/>
          <w:sz w:val="24"/>
        </w:rPr>
        <w:t>本规范与现行法律、法规和强制性国家标准一致。</w:t>
      </w:r>
    </w:p>
    <w:p>
      <w:pPr>
        <w:spacing w:beforeLines="50" w:line="360" w:lineRule="auto"/>
        <w:ind w:firstLine="482" w:firstLineChars="200"/>
        <w:rPr>
          <w:b/>
          <w:sz w:val="24"/>
        </w:rPr>
      </w:pPr>
      <w:r>
        <w:rPr>
          <w:rFonts w:hint="eastAsia"/>
          <w:b/>
          <w:sz w:val="24"/>
        </w:rPr>
        <w:t>七、重大分歧意见的处理经过和依据</w:t>
      </w:r>
    </w:p>
    <w:p>
      <w:pPr>
        <w:spacing w:line="360" w:lineRule="auto"/>
        <w:ind w:firstLine="480" w:firstLineChars="200"/>
        <w:rPr>
          <w:sz w:val="24"/>
        </w:rPr>
      </w:pPr>
      <w:r>
        <w:rPr>
          <w:rFonts w:hint="eastAsia"/>
          <w:sz w:val="24"/>
        </w:rPr>
        <w:t>本规范在制定过程中无重大意见分歧。</w:t>
      </w:r>
    </w:p>
    <w:p>
      <w:pPr>
        <w:spacing w:beforeLines="50" w:line="360" w:lineRule="auto"/>
        <w:ind w:firstLine="482" w:firstLineChars="200"/>
        <w:rPr>
          <w:b/>
          <w:sz w:val="24"/>
        </w:rPr>
      </w:pPr>
      <w:r>
        <w:rPr>
          <w:rFonts w:hint="eastAsia"/>
          <w:b/>
          <w:sz w:val="24"/>
        </w:rPr>
        <w:t>八、其他应予以说明的事项</w:t>
      </w:r>
    </w:p>
    <w:p>
      <w:pPr>
        <w:spacing w:line="360" w:lineRule="auto"/>
        <w:ind w:firstLine="480" w:firstLineChars="200"/>
        <w:rPr>
          <w:sz w:val="24"/>
        </w:rPr>
      </w:pPr>
      <w:r>
        <w:rPr>
          <w:rFonts w:hint="eastAsia"/>
          <w:sz w:val="24"/>
        </w:rPr>
        <w:t>本规范不涉及专利、著作权等知识产权内容。</w:t>
      </w:r>
    </w:p>
    <w:p>
      <w:pPr>
        <w:spacing w:line="360" w:lineRule="auto"/>
        <w:ind w:firstLine="480" w:firstLineChars="200"/>
        <w:rPr>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810527"/>
    </w:sdtPr>
    <w:sdtContent>
      <w:p>
        <w:pPr>
          <w:pStyle w:val="5"/>
          <w:jc w:val="center"/>
        </w:pPr>
        <w:r>
          <w:fldChar w:fldCharType="begin"/>
        </w:r>
        <w:r>
          <w:instrText xml:space="preserve"> PAGE   \* MERGEFORMAT </w:instrText>
        </w:r>
        <w:r>
          <w:fldChar w:fldCharType="separate"/>
        </w:r>
        <w:r>
          <w:rPr>
            <w:lang w:val="zh-CN"/>
          </w:rPr>
          <w:t>1</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U1YzYzODE2MzlkNTQ2MTkyYWVkZWE4ZmIzOTI3MjQifQ=="/>
  </w:docVars>
  <w:rsids>
    <w:rsidRoot w:val="00B54640"/>
    <w:rsid w:val="00002AA3"/>
    <w:rsid w:val="000111A8"/>
    <w:rsid w:val="00024AD0"/>
    <w:rsid w:val="00032B34"/>
    <w:rsid w:val="000432E4"/>
    <w:rsid w:val="00045408"/>
    <w:rsid w:val="00065747"/>
    <w:rsid w:val="00072A5D"/>
    <w:rsid w:val="00072F9E"/>
    <w:rsid w:val="0007518D"/>
    <w:rsid w:val="00081136"/>
    <w:rsid w:val="000967E5"/>
    <w:rsid w:val="000E2DB0"/>
    <w:rsid w:val="000E5EEA"/>
    <w:rsid w:val="00100600"/>
    <w:rsid w:val="0010628C"/>
    <w:rsid w:val="0011582C"/>
    <w:rsid w:val="00117225"/>
    <w:rsid w:val="001261FB"/>
    <w:rsid w:val="001459EA"/>
    <w:rsid w:val="001B240D"/>
    <w:rsid w:val="001B7FCF"/>
    <w:rsid w:val="001E60B2"/>
    <w:rsid w:val="001F49A2"/>
    <w:rsid w:val="001F6B88"/>
    <w:rsid w:val="00223F43"/>
    <w:rsid w:val="00251635"/>
    <w:rsid w:val="002570E7"/>
    <w:rsid w:val="00263B08"/>
    <w:rsid w:val="00270389"/>
    <w:rsid w:val="00277F67"/>
    <w:rsid w:val="002B33FD"/>
    <w:rsid w:val="002C51E6"/>
    <w:rsid w:val="002F3A23"/>
    <w:rsid w:val="002F4F4A"/>
    <w:rsid w:val="002F62C6"/>
    <w:rsid w:val="003573A8"/>
    <w:rsid w:val="00381661"/>
    <w:rsid w:val="0038241B"/>
    <w:rsid w:val="00394E55"/>
    <w:rsid w:val="00395198"/>
    <w:rsid w:val="003D013C"/>
    <w:rsid w:val="003D2031"/>
    <w:rsid w:val="00401C38"/>
    <w:rsid w:val="004860B6"/>
    <w:rsid w:val="004A1A3B"/>
    <w:rsid w:val="004B3375"/>
    <w:rsid w:val="0050630D"/>
    <w:rsid w:val="005251DD"/>
    <w:rsid w:val="00562E3C"/>
    <w:rsid w:val="005652D8"/>
    <w:rsid w:val="00574624"/>
    <w:rsid w:val="005A612F"/>
    <w:rsid w:val="006153FD"/>
    <w:rsid w:val="0062394B"/>
    <w:rsid w:val="006271FF"/>
    <w:rsid w:val="006701C4"/>
    <w:rsid w:val="00687895"/>
    <w:rsid w:val="006B1DD1"/>
    <w:rsid w:val="006D7356"/>
    <w:rsid w:val="006F02C0"/>
    <w:rsid w:val="007031ED"/>
    <w:rsid w:val="0071685C"/>
    <w:rsid w:val="00722AA5"/>
    <w:rsid w:val="00733A45"/>
    <w:rsid w:val="00750174"/>
    <w:rsid w:val="0077158A"/>
    <w:rsid w:val="00771DEF"/>
    <w:rsid w:val="00773570"/>
    <w:rsid w:val="007B25BD"/>
    <w:rsid w:val="007B2834"/>
    <w:rsid w:val="007C5393"/>
    <w:rsid w:val="00826FCD"/>
    <w:rsid w:val="00834F74"/>
    <w:rsid w:val="00850060"/>
    <w:rsid w:val="008579E9"/>
    <w:rsid w:val="00874983"/>
    <w:rsid w:val="00893810"/>
    <w:rsid w:val="008C3162"/>
    <w:rsid w:val="008C4F78"/>
    <w:rsid w:val="008D28EC"/>
    <w:rsid w:val="008E19E6"/>
    <w:rsid w:val="00913326"/>
    <w:rsid w:val="0092603E"/>
    <w:rsid w:val="00946452"/>
    <w:rsid w:val="00946591"/>
    <w:rsid w:val="00957A50"/>
    <w:rsid w:val="009751AB"/>
    <w:rsid w:val="009770CA"/>
    <w:rsid w:val="009D2AF8"/>
    <w:rsid w:val="009D3CF7"/>
    <w:rsid w:val="009D7DF0"/>
    <w:rsid w:val="009E339B"/>
    <w:rsid w:val="009E44E4"/>
    <w:rsid w:val="009E7041"/>
    <w:rsid w:val="009F2C31"/>
    <w:rsid w:val="009F7D4B"/>
    <w:rsid w:val="00A012B3"/>
    <w:rsid w:val="00A04927"/>
    <w:rsid w:val="00A64693"/>
    <w:rsid w:val="00A7623B"/>
    <w:rsid w:val="00A80411"/>
    <w:rsid w:val="00A86118"/>
    <w:rsid w:val="00AA116A"/>
    <w:rsid w:val="00AB7160"/>
    <w:rsid w:val="00AC772D"/>
    <w:rsid w:val="00AE5608"/>
    <w:rsid w:val="00AF7210"/>
    <w:rsid w:val="00B05475"/>
    <w:rsid w:val="00B07C01"/>
    <w:rsid w:val="00B2138A"/>
    <w:rsid w:val="00B24106"/>
    <w:rsid w:val="00B4181C"/>
    <w:rsid w:val="00B54640"/>
    <w:rsid w:val="00B63A7B"/>
    <w:rsid w:val="00B743BA"/>
    <w:rsid w:val="00B7465D"/>
    <w:rsid w:val="00B82E98"/>
    <w:rsid w:val="00B8579F"/>
    <w:rsid w:val="00B86C46"/>
    <w:rsid w:val="00B874B7"/>
    <w:rsid w:val="00BB4EDB"/>
    <w:rsid w:val="00BC1746"/>
    <w:rsid w:val="00BC7D1B"/>
    <w:rsid w:val="00BF1A73"/>
    <w:rsid w:val="00C44DF3"/>
    <w:rsid w:val="00CD2418"/>
    <w:rsid w:val="00CF61EA"/>
    <w:rsid w:val="00D25C02"/>
    <w:rsid w:val="00D5789C"/>
    <w:rsid w:val="00D77E8B"/>
    <w:rsid w:val="00DA3C85"/>
    <w:rsid w:val="00DA5E07"/>
    <w:rsid w:val="00DD3E9D"/>
    <w:rsid w:val="00DE0F1F"/>
    <w:rsid w:val="00E20DC2"/>
    <w:rsid w:val="00E70CBD"/>
    <w:rsid w:val="00E71A9D"/>
    <w:rsid w:val="00EA0A61"/>
    <w:rsid w:val="00F20547"/>
    <w:rsid w:val="00F25176"/>
    <w:rsid w:val="00F447F0"/>
    <w:rsid w:val="00F52297"/>
    <w:rsid w:val="00F53ABF"/>
    <w:rsid w:val="00F6753A"/>
    <w:rsid w:val="00F73BA8"/>
    <w:rsid w:val="00F748FC"/>
    <w:rsid w:val="00FD6F04"/>
    <w:rsid w:val="13F83153"/>
    <w:rsid w:val="16004583"/>
    <w:rsid w:val="1D0417DD"/>
    <w:rsid w:val="1DCD25B6"/>
    <w:rsid w:val="32130859"/>
    <w:rsid w:val="38014AC7"/>
    <w:rsid w:val="4C835885"/>
    <w:rsid w:val="5FE25A0A"/>
    <w:rsid w:val="60F93A55"/>
    <w:rsid w:val="66E02478"/>
    <w:rsid w:val="74601B33"/>
    <w:rsid w:val="768728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spacing w:after="120"/>
      <w:ind w:left="420" w:leftChars="200"/>
    </w:pPr>
    <w:rPr>
      <w:szCs w:val="20"/>
    </w:rPr>
  </w:style>
  <w:style w:type="paragraph" w:styleId="3">
    <w:name w:val="Body Text Indent 2"/>
    <w:basedOn w:val="1"/>
    <w:link w:val="16"/>
    <w:qFormat/>
    <w:uiPriority w:val="0"/>
    <w:pPr>
      <w:spacing w:after="120" w:line="480" w:lineRule="auto"/>
      <w:ind w:left="420" w:leftChars="200"/>
    </w:pPr>
  </w:style>
  <w:style w:type="paragraph" w:styleId="4">
    <w:name w:val="Balloon Text"/>
    <w:basedOn w:val="1"/>
    <w:link w:val="13"/>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customStyle="1" w:styleId="11">
    <w:name w:val="页眉 Char"/>
    <w:basedOn w:val="9"/>
    <w:link w:val="6"/>
    <w:qFormat/>
    <w:uiPriority w:val="0"/>
    <w:rPr>
      <w:kern w:val="2"/>
      <w:sz w:val="18"/>
      <w:szCs w:val="18"/>
    </w:rPr>
  </w:style>
  <w:style w:type="character" w:customStyle="1" w:styleId="12">
    <w:name w:val="页脚 Char"/>
    <w:basedOn w:val="9"/>
    <w:link w:val="5"/>
    <w:qFormat/>
    <w:uiPriority w:val="99"/>
    <w:rPr>
      <w:kern w:val="2"/>
      <w:sz w:val="18"/>
      <w:szCs w:val="18"/>
    </w:rPr>
  </w:style>
  <w:style w:type="character" w:customStyle="1" w:styleId="13">
    <w:name w:val="批注框文本 Char"/>
    <w:basedOn w:val="9"/>
    <w:link w:val="4"/>
    <w:qFormat/>
    <w:uiPriority w:val="0"/>
    <w:rPr>
      <w:kern w:val="2"/>
      <w:sz w:val="18"/>
      <w:szCs w:val="18"/>
    </w:rPr>
  </w:style>
  <w:style w:type="paragraph" w:styleId="14">
    <w:name w:val="List Paragraph"/>
    <w:basedOn w:val="1"/>
    <w:qFormat/>
    <w:uiPriority w:val="34"/>
    <w:pPr>
      <w:ind w:firstLine="420" w:firstLineChars="200"/>
    </w:pPr>
  </w:style>
  <w:style w:type="character" w:customStyle="1" w:styleId="15">
    <w:name w:val="正文文本缩进 Char"/>
    <w:basedOn w:val="9"/>
    <w:link w:val="2"/>
    <w:qFormat/>
    <w:uiPriority w:val="0"/>
    <w:rPr>
      <w:kern w:val="2"/>
      <w:sz w:val="21"/>
    </w:rPr>
  </w:style>
  <w:style w:type="character" w:customStyle="1" w:styleId="16">
    <w:name w:val="正文文本缩进 2 Char"/>
    <w:basedOn w:val="9"/>
    <w:link w:val="3"/>
    <w:qFormat/>
    <w:uiPriority w:val="0"/>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435</Words>
  <Characters>2484</Characters>
  <Lines>20</Lines>
  <Paragraphs>5</Paragraphs>
  <TotalTime>0</TotalTime>
  <ScaleCrop>false</ScaleCrop>
  <LinksUpToDate>false</LinksUpToDate>
  <CharactersWithSpaces>2914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2020-04-14T03:09:00Z</dcterms:created>
  <dc:creator>Think</dc:creator>
  <cp:lastModifiedBy>丁力</cp:lastModifiedBy>
  <dcterms:modified xsi:type="dcterms:W3CDTF">2023-12-09T12:21:00Z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5AF95A7C807F4E658CDD1D8A1BE127F2_12</vt:lpwstr>
  </property>
</Properties>
</file>